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关于开展</w:t>
      </w:r>
      <w:r>
        <w:rPr>
          <w:rFonts w:hint="eastAsia"/>
          <w:b/>
          <w:sz w:val="32"/>
          <w:szCs w:val="32"/>
        </w:rPr>
        <w:t>校级</w:t>
      </w:r>
      <w:r>
        <w:rPr>
          <w:rFonts w:hint="eastAsia"/>
          <w:b/>
          <w:sz w:val="32"/>
          <w:szCs w:val="32"/>
          <w:lang w:eastAsia="zh-CN"/>
        </w:rPr>
        <w:t>本科</w:t>
      </w:r>
      <w:r>
        <w:rPr>
          <w:rFonts w:hint="eastAsia"/>
          <w:b/>
          <w:sz w:val="32"/>
          <w:szCs w:val="32"/>
        </w:rPr>
        <w:t>教学督导选聘工作</w:t>
      </w:r>
      <w:r>
        <w:rPr>
          <w:rFonts w:hint="eastAsia"/>
          <w:b/>
          <w:sz w:val="32"/>
          <w:szCs w:val="32"/>
          <w:lang w:eastAsia="zh-CN"/>
        </w:rPr>
        <w:t>的通知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各教学单位、有关部门：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00" w:afterAutospacing="1" w:line="360" w:lineRule="auto"/>
        <w:ind w:firstLine="600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为了加强教学管理、健全教学质量监控体系，促进教育教学改革、提高人才培养质量，根据《蚌埠学院教学督导员工作规程》（院字〔2005〕34号）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《蚌埠学院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关于开展</w:t>
      </w:r>
      <w:r>
        <w:rPr>
          <w:rFonts w:hint="eastAsia" w:ascii="仿宋_GB2312" w:hAnsi="仿宋_GB2312" w:eastAsia="仿宋_GB2312" w:cs="仿宋_GB2312"/>
          <w:sz w:val="30"/>
          <w:szCs w:val="30"/>
        </w:rPr>
        <w:t>本科教学督导工</w:t>
      </w:r>
      <w:r>
        <w:rPr>
          <w:rFonts w:hint="eastAsia" w:ascii="仿宋_GB2312" w:hAnsi="Times New Roman" w:eastAsia="仿宋_GB2312" w:cs="Times New Roman"/>
          <w:sz w:val="30"/>
          <w:szCs w:val="30"/>
        </w:rPr>
        <w:t>作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的</w:t>
      </w:r>
      <w:r>
        <w:rPr>
          <w:rFonts w:hint="eastAsia" w:ascii="仿宋_GB2312" w:hAnsi="Times New Roman" w:eastAsia="仿宋_GB2312" w:cs="Times New Roman"/>
          <w:sz w:val="30"/>
          <w:szCs w:val="30"/>
        </w:rPr>
        <w:t>实施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意见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》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（试行）（院字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[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74号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文件精神，学校决定向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教学单位选聘</w:t>
      </w:r>
      <w:r>
        <w:rPr>
          <w:rFonts w:hint="eastAsia" w:ascii="仿宋_GB2312" w:hAnsi="Times New Roman" w:eastAsia="仿宋_GB2312" w:cs="Times New Roman"/>
          <w:sz w:val="30"/>
          <w:szCs w:val="30"/>
        </w:rPr>
        <w:t>校级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本科</w:t>
      </w:r>
      <w:r>
        <w:rPr>
          <w:rFonts w:hint="eastAsia" w:ascii="仿宋_GB2312" w:hAnsi="Times New Roman" w:eastAsia="仿宋_GB2312" w:cs="Times New Roman"/>
          <w:sz w:val="30"/>
          <w:szCs w:val="30"/>
        </w:rPr>
        <w:t>教学督导员。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right="62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eastAsia="zh-CN"/>
        </w:rPr>
        <w:t>选聘人数及结构组成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拟选聘学</w:t>
      </w:r>
      <w:r>
        <w:rPr>
          <w:rFonts w:hint="eastAsia" w:ascii="仿宋_GB2312" w:hAnsi="Times New Roman" w:eastAsia="仿宋_GB2312" w:cs="Times New Roman"/>
          <w:sz w:val="30"/>
          <w:szCs w:val="30"/>
        </w:rPr>
        <w:t>校本科教学督导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13人，其中专职督导6人，教学单位兼职督导7人。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right="60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选聘办法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根据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《蚌埠学院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关于开展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本科教学督导工作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的</w:t>
      </w:r>
      <w:r>
        <w:rPr>
          <w:rFonts w:hint="eastAsia" w:ascii="仿宋_GB2312" w:hAnsi="Times New Roman" w:eastAsia="仿宋_GB2312" w:cs="Times New Roman"/>
          <w:sz w:val="30"/>
          <w:szCs w:val="30"/>
        </w:rPr>
        <w:t>实施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意见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》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（试行），每个学院推荐符合要求的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1-2名退休或在职教师，填写《蚌埠学院校级教学督导推荐表》（一式两份），于7月6日前交教学质量监控办公室，学校组织开展校级教学督导的选聘工作。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right="60" w:rightChars="0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三、选聘条件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1.身体健康，65周岁以下。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政治素质好，认真负责，秉公办事，作风正派，善于沟通交流，热心教学督导工作。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具备丰富的教学或教学管理经验，应具有副高以上职称。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4.兼职督导要保证有充足的时间开展督导工作。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right="60" w:rightChars="0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四、聘期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二年。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right="60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、工作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eastAsia="zh-CN"/>
        </w:rPr>
        <w:t>职责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．课堂教学质量检查。通过有组织的随机听课（不少于4学时/周），检查各专业人才培养方案的执行情况；检查教学资料准备及教学进度情况；检查教师课堂教学情况，对课堂教学各个环节的工作情况和效果进行检查与评价，主要检查对象为：青年教师；新进教师；学生反映教学效果不良的教师；“教学名师”候选人；申请晋升教师系列职称的教师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2．毕业设计（论文）检查。本科教学督导参加毕业设计（论文)中期检查和毕业答辩检查。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3．考试检查。参加期末考试的考场巡视，检查考务管理和考风情况，并对试卷及评分情况进行抽查。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4. 开展过程考核的相关检查，参与大学生成长与发展指导工作的过程性检查。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5. 根据各院（部）的实习教学工作计划，开展实习教学专项检查活动。 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6. 结合学校重点工作，适时开展督学、督管相关工作。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7．对教学环境和教学条件保障进行检查，发现问题及时向学校提出意见和建议。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8. 校本科教学督导组组长、副组长应督促、检查各院（部）督导小组的工作。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right="20" w:firstLine="56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、教学督导员的待遇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1.学校对校级督导工作业绩考核合格后，给予专职校级教学督导员2000元/月的工作津贴，每年按照10个月发放，担任正、副组长的每月另加200元，兼职校级教学督导员以120学时/年额外计入绩效考核工作量。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2. 加强督导队伍建设，开展相关培训、学习交流活动。</w:t>
      </w:r>
    </w:p>
    <w:p>
      <w:pPr>
        <w:ind w:firstLine="585" w:firstLineChars="195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3．学校每年对工作业绩出色的本科教学督导人员进行表彰和奖励。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3920" w:firstLineChars="14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5600" w:firstLineChars="20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2018年6月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p>
      <w:pPr>
        <w:widowControl/>
        <w:spacing w:line="340" w:lineRule="exact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widowControl/>
        <w:spacing w:line="340" w:lineRule="exact"/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widowControl/>
        <w:spacing w:line="340" w:lineRule="exact"/>
        <w:ind w:firstLine="560" w:firstLineChars="200"/>
        <w:jc w:val="both"/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附件：蚌埠学院校级教学督导员推荐表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rPr>
          <w:rFonts w:hint="eastAsia"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</w:pPr>
    </w:p>
    <w:p>
      <w:pPr>
        <w:widowControl/>
        <w:spacing w:line="34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  <w:t>蚌埠学院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eastAsia="zh-CN"/>
        </w:rPr>
        <w:t>校级教学督导员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  <w:t>推荐表</w:t>
      </w:r>
    </w:p>
    <w:p>
      <w:pPr>
        <w:widowControl/>
        <w:spacing w:line="34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</w:pPr>
    </w:p>
    <w:tbl>
      <w:tblPr>
        <w:tblStyle w:val="3"/>
        <w:tblW w:w="9088" w:type="dxa"/>
        <w:jc w:val="center"/>
        <w:tblInd w:w="-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19"/>
        <w:gridCol w:w="871"/>
        <w:gridCol w:w="1643"/>
        <w:gridCol w:w="1654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性别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所学专业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龄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电话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  <w:t>/职务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任期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类型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专职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  <w:t>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9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见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见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ind w:firstLine="5760" w:firstLineChars="24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章：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见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ind w:firstLine="5760" w:firstLineChars="24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章：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  <w:t>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见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760" w:firstLineChars="24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章：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见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760" w:firstLineChars="2400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ind w:firstLine="5760" w:firstLineChars="2400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ind w:firstLine="5760" w:firstLineChars="2400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　　　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eastAsia="zh-CN"/>
              </w:rPr>
              <w:t>　　　　　　　　　　　　　　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1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17"/>
        </w:rPr>
      </w:pPr>
    </w:p>
    <w:p>
      <w:pPr>
        <w:jc w:val="center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7EA5E"/>
    <w:multiLevelType w:val="singleLevel"/>
    <w:tmpl w:val="C127EA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C78"/>
    <w:rsid w:val="005B7CD4"/>
    <w:rsid w:val="005E7C78"/>
    <w:rsid w:val="00D232AC"/>
    <w:rsid w:val="059173A5"/>
    <w:rsid w:val="059E5791"/>
    <w:rsid w:val="05A30EB7"/>
    <w:rsid w:val="07816775"/>
    <w:rsid w:val="09C76F53"/>
    <w:rsid w:val="0B284B6B"/>
    <w:rsid w:val="0CB010E9"/>
    <w:rsid w:val="0E5623E9"/>
    <w:rsid w:val="0FF61339"/>
    <w:rsid w:val="11264455"/>
    <w:rsid w:val="169805FA"/>
    <w:rsid w:val="17D84C97"/>
    <w:rsid w:val="18F10AF0"/>
    <w:rsid w:val="28BA50F5"/>
    <w:rsid w:val="28CA487B"/>
    <w:rsid w:val="298B656F"/>
    <w:rsid w:val="2A966EB9"/>
    <w:rsid w:val="2EFA6D1A"/>
    <w:rsid w:val="3F9D4877"/>
    <w:rsid w:val="40EE676C"/>
    <w:rsid w:val="486A1023"/>
    <w:rsid w:val="4C066844"/>
    <w:rsid w:val="4C3A3796"/>
    <w:rsid w:val="578C62A0"/>
    <w:rsid w:val="618C5323"/>
    <w:rsid w:val="68E5645A"/>
    <w:rsid w:val="6CC97F5F"/>
    <w:rsid w:val="6DDE3920"/>
    <w:rsid w:val="71565AB3"/>
    <w:rsid w:val="7343200D"/>
    <w:rsid w:val="761F161B"/>
    <w:rsid w:val="7AAE6B23"/>
    <w:rsid w:val="7BB030F3"/>
    <w:rsid w:val="7E7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912</Characters>
  <Lines>7</Lines>
  <Paragraphs>2</Paragraphs>
  <TotalTime>1</TotalTime>
  <ScaleCrop>false</ScaleCrop>
  <LinksUpToDate>false</LinksUpToDate>
  <CharactersWithSpaces>1069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2018-05-30T09:14:00Z</dcterms:created>
  <dc:creator>lvxiaohua</dc:creator>
  <cp:lastModifiedBy>Administrator</cp:lastModifiedBy>
  <cp:lastPrinted>2018-07-02T01:30:00Z</cp:lastPrinted>
  <dcterms:modified xsi:type="dcterms:W3CDTF">2018-07-02T06:46:11Z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